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2120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</w:pPr>
      <w:proofErr w:type="spellStart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>Điều</w:t>
      </w:r>
      <w:proofErr w:type="spellEnd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 xml:space="preserve"> 7. </w:t>
      </w:r>
      <w:proofErr w:type="spellStart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>Chính</w:t>
      </w:r>
      <w:proofErr w:type="spellEnd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>sách</w:t>
      </w:r>
      <w:proofErr w:type="spellEnd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>ưu</w:t>
      </w:r>
      <w:proofErr w:type="spellEnd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>tiên</w:t>
      </w:r>
      <w:proofErr w:type="spellEnd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>trong</w:t>
      </w:r>
      <w:proofErr w:type="spellEnd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>tuyển</w:t>
      </w:r>
      <w:proofErr w:type="spellEnd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b/>
          <w:bCs/>
          <w:color w:val="000000" w:themeColor="text1"/>
          <w:sz w:val="28"/>
          <w:szCs w:val="28"/>
          <w:lang w:val="sv-SE"/>
        </w:rPr>
        <w:t>sinh</w:t>
      </w:r>
      <w:proofErr w:type="spellEnd"/>
    </w:p>
    <w:p w14:paraId="06FC7510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1.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Chính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sách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ưu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tiên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theo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tượng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.</w:t>
      </w:r>
    </w:p>
    <w:p w14:paraId="1E238F47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a)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Nhóm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ưu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tiên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 (UT1)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gồm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các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tượng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:</w:t>
      </w:r>
    </w:p>
    <w:p w14:paraId="553C5911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-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tượng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01: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dân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Việt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Nam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là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dân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tộc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thiểu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số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hộ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khẩu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thường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trú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(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trong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học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THPT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hoặc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trung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cấp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)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18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tại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vực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định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tại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điểm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 xml:space="preserve"> c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khoản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4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Điều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này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0731C133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-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tượng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02: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trực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tiếp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sản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xuất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đã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làm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việc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liên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tục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5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trở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trong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ít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nhất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là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chiến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đua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cấp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tỉnh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trở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nhận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và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cấp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bằng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khen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; </w:t>
      </w:r>
    </w:p>
    <w:p w14:paraId="1ACD7F6C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-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tượng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03: </w:t>
      </w:r>
    </w:p>
    <w:p w14:paraId="589E070F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Thương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binh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bệnh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binh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“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Giấy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chứng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nhận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hưởng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chính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sách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như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thương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binh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”;</w:t>
      </w:r>
    </w:p>
    <w:p w14:paraId="4181A676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;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hạ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chiến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nghĩa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vụ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trong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an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dân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tại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cử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học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phục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vụ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từ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12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trở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tại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vực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1;</w:t>
      </w:r>
    </w:p>
    <w:p w14:paraId="25DBD8CE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;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hạ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chiến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nghĩa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vụ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trong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an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dân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tại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cử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học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phục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vụ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từ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18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trở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7E192BCD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;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hạ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quan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chiến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nghĩa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vụ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trong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an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dân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đã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xuất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nhận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hoàn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thành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nghĩa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vụ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phục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vụ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tại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theo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định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26B256ED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Các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tượng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ưu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tiên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định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tại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điểm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 xml:space="preserve"> i</w:t>
      </w: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k, </w:t>
      </w:r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l</w:t>
      </w: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 xml:space="preserve">m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khoản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Điều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Pháp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lệnh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số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26/2005/PL-UBTVQH11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ngày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29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6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2005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sửa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đổi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bổ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sung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theo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Pháp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lệnh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số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04/2012/UBTVQH13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ngày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16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7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2012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của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Ủy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ban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thường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vụ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Quốc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hội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về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việc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ưu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đãi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với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cách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mạng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22BD9AE4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-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Đối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tượng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04: </w:t>
      </w:r>
    </w:p>
    <w:p w14:paraId="5EEBD9AB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liệt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190A61D8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thương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binh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bị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suy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giảm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khả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lao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từ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81%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trở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3E586473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bệnh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binh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bị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suy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giảm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khả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lao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từ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81%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trở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60126678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của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hoạt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chiến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bị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nhiễm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chất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hoá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học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tỷ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lệ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suy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giảm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khả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lao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81%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trở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3CF1E981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của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cấp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“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Giấy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chứng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nhận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hưởng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chính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sách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như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thương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binh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”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mà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cấp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“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Giấy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chứng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nhận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hưởng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chính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sách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như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thương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binh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”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bị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suy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giảm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khả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lao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81%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trở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lên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2797C086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của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Anh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hùng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lực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lượng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vũ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trang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của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Anh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hùng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lao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; </w:t>
      </w:r>
    </w:p>
    <w:p w14:paraId="03C1932D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đẻ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của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hoạt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kháng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chiến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bị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dị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dạng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dị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tật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do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hậu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quả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của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chất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độc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hóa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học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đang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hưởng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trợ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cấp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hằng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3437C531" w14:textId="77777777" w:rsidR="005E311F" w:rsidRPr="005E311F" w:rsidRDefault="005E311F" w:rsidP="005E311F">
      <w:pPr>
        <w:widowControl w:val="0"/>
        <w:tabs>
          <w:tab w:val="left" w:pos="3780"/>
        </w:tabs>
        <w:spacing w:after="0" w:line="380" w:lineRule="exact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sv-SE"/>
        </w:rPr>
      </w:pP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lastRenderedPageBreak/>
        <w:t xml:space="preserve">+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Con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của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với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cách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mạng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quy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định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tại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điểm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 xml:space="preserve"> a</w:t>
      </w:r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b, </w:t>
      </w:r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 xml:space="preserve">d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u w:color="FF0000"/>
          <w:lang w:val="sv-SE"/>
        </w:rPr>
        <w:t>khoản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Điều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Pháp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lệnh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số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26/2005/PL-UBTVQH11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ngày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29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6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2005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được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sửa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đổi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,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bổ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sung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theo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Pháp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lệnh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số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04/2012/UBTVQH13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ngày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16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tháng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7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năm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2012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về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việc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ưu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đãi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người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có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công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với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cách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 xml:space="preserve"> </w:t>
      </w:r>
      <w:proofErr w:type="spellStart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mạng</w:t>
      </w:r>
      <w:proofErr w:type="spellEnd"/>
      <w:r w:rsidRPr="005E311F">
        <w:rPr>
          <w:rFonts w:ascii="Times New Roman" w:hAnsi="Times New Roman"/>
          <w:color w:val="000000" w:themeColor="text1"/>
          <w:sz w:val="28"/>
          <w:szCs w:val="28"/>
          <w:lang w:val="sv-SE"/>
        </w:rPr>
        <w:t>;</w:t>
      </w:r>
    </w:p>
    <w:p w14:paraId="1F3B4082" w14:textId="77777777" w:rsidR="005E311F" w:rsidRPr="005E311F" w:rsidRDefault="005E311F">
      <w:pPr>
        <w:rPr>
          <w:color w:val="000000" w:themeColor="text1"/>
        </w:rPr>
      </w:pPr>
    </w:p>
    <w:p w14:paraId="54752972" w14:textId="77777777" w:rsidR="005E311F" w:rsidRPr="005E311F" w:rsidRDefault="005E311F">
      <w:pPr>
        <w:rPr>
          <w:color w:val="000000" w:themeColor="text1"/>
        </w:rPr>
      </w:pPr>
    </w:p>
    <w:sectPr w:rsidR="005E311F" w:rsidRPr="005E31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1F"/>
    <w:rsid w:val="005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B2A2"/>
  <w15:chartTrackingRefBased/>
  <w15:docId w15:val="{A0ADC353-FBEA-6041-8E2A-C691CEE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11F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Huy Lan</dc:creator>
  <cp:keywords/>
  <dc:description/>
  <cp:lastModifiedBy>Nguyen Huy Lan</cp:lastModifiedBy>
  <cp:revision>1</cp:revision>
  <dcterms:created xsi:type="dcterms:W3CDTF">2020-06-02T15:26:00Z</dcterms:created>
  <dcterms:modified xsi:type="dcterms:W3CDTF">2020-06-02T15:28:00Z</dcterms:modified>
</cp:coreProperties>
</file>